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473. “剧本杀新变局，实景演绎”——实景娱乐（剧本杀、密室逃脱、NPC剧场）消费研究（第十六批）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研究对象：玩过剧本杀/密室逃脱/沉浸式剧场的 18—35 岁玩家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核心变量/研究问题：游玩频次、单场价格（本/人）、剧本类型偏好、组队方式（拼场/熟人）、AI/NPC体验、复购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实景娱乐门店现场+玩家社群；与37题（剧本杀体验）区分：聚焦实景升级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🔶剧本杀市场规模（艾媒《2022-2023剧本杀行业报告》需下载）；✅沉浸式文旅政策（文旅部沉浸式空间培育行动）；✅文娱消费304亿（已核验）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