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475. “文创雪糕与冰箱贴，旅行纪念”——文创纪念品（雪糕、冰箱贴、明信片）消费研究（第十六批）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研究对象：买过景区/博物馆文创纪念品的游客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核心变量/研究问题：购买动机（打卡/纪念/送礼）、单品价格、设计吸引力、传播分享、复购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景区文创店现场+社交平台分析；与227-231（文创）区分：聚焦轻量级纪念品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🔶文创雪糕/冰箱贴（媒体现象）；✅文博文创热（已核验）；✅旅行纪念品消费（文旅数据🔶）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