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487. “城市夜拍，越夜越出片”——城市夜景摄影、夜拍服务消费研究（第十七批）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研究对象：为出片进行夜拍（夜景人像/无人机/灯光秀）的年轻人及摄影从业者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核心变量/研究问题：拍摄动机、器材消费、夜拍点打卡、约拍服务价格、出片社交传播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摄影社群+夜景点现场；与389题（草坪经济）互补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🔶"出片""打卡经济"（媒体热词）；✅夜经济45-50万亿（第十四轮证据）；✅无人机航拍市场（消费级无人机媒体🔶）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