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497. “春日赏花，经济花开”——春日经济、赏花经济消费行为研究（第十七批）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研究对象：参与过赏花游（樱花/油菜花/梅花）的游客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核心变量/研究问题：赏花目的地（公园/乡村）、花期消费（门票/餐饮/文创）、打卡出片、跨城赏花、花经济带动感知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研究阶段：中期（春季调研佳）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赏花景区现场+OTA渠道；季节性强、取材容易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🔶"春日经济/赏花经济"（媒体+文旅数据需核验）；✅乡村旅游与"花经济"（文旅部数据🔶）；✅文旅消费复苏（已核验）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