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76. “为一场演唱会赴一座城”——演唱会跨城观演消费行为与文旅带动研究（第三批）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研究对象：近一年看过演唱会（含跨城）的观众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核心变量/研究问题：观演动机、跨城支出（交通/住宿/餐饮）、消费乘数、满意度、重游意愿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研究阶段：成熟期（消费行为+带动效应）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演出票务社群/歌迷会渠道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✅2026上半年5000人以上大型营业性演出0.13万场（+13.06%）、票房171.11亿元（+17.70%）、观众2328.28万人次（+20.37%）（中演协简报/央广网）；🔶跨城消费乘数效应、歌迷专列上百列（行业报告）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