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77. “演出经济，下沉爆发”——二三线城市音乐节、演唱会市场消费需求研究（第三批）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研究对象：二三线城市音乐节/演唱会观众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核心变量/研究问题：本地观演需求、票价接受度、参与频率、本地消费带动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二三线城市演出场馆/音乐节现场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🔶演唱会市场K型分化、下沉市场拼盘演出占比45.6%（行业报告聚合中演协数据）；✅2026上半年全国演出场次32.43万场、票房304.08亿元（+9.41%）、观众9881.18万人次（中演协）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