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95. “公园20分钟，城市疗愈”——城市公园自然体感消费与精神充电行为研究（第三批）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第四批（新奇特消费×AI新硬件×陪伴服务×文化现象×数字治理）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研究对象：18—45岁有"公园20分钟效应"体验/日常去公园休息的城市居民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核心变量/研究问题：到访频率、自然接触时长、情绪恢复感知（问卷前后测）、公园配套消费（咖啡/文创/市集）、付费意愿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研究阶段：中期（行为+效果评估，可设计准实验）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所属选题库：正大杯第四批30个特色创新选题（新奇特/AI硬件/陪伴/文化/数字治理）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城市公园现场拦截+访谈；可结合指压式量表测量情绪改善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🔶"公园20分钟效应"源自埃克塞特大学自然环境与心理健康研究（学术文献可检索引用）；✅多地推进"公园城市"建设（住建部政策背景）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