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03. “智能装备，运动升级”——智能可穿戴运动设备购买意愿及影响因素研究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研究对象：跑步、健身、骑行和球类运动人群。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核心变量/研究问题：健康监测需求、运动数据依赖、隐私顾虑、品牌信任、支付意愿。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研究阶段：中期意愿研究。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通过跑团、健身房和运动社群获取样本。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S2，政策提出发展智能可穿戴装备及科技赛事服务。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