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075. “旱雪四季滑，南方滑雪梦”——旱雪场、四季滑雪训练消费研究（补充更新批）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第三批（61-90）·补充更新（2026-10 清理重复/过气后顶替编号）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研究对象：体验过旱雪/室内模拟滑雪训练的爱好者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核心变量/研究问题：参与动机（训练/尝鲜）、旱雪vs真雪体验差、课程付费、南方受众特点、复购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所属选题库：正大杯500题 · 补充更新批（顶替清理编号，详见批次总览）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旱雪场/滑雪培训渠道；与458（室内滑雪）区分：聚焦旱雪模拟训练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✅2025-2026冰雪季室内雪场客流占比超25%（第十六轮证据）；🔶旱雪产业（国务院冰雪经济文件提及旱雪需核验）；✅"带动三亿人参与冰雪"（背景）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