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118. “城市 'cityride'，骑行即生活”——城市骑行通勤与骑行消费升级研究（第三批）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第四批（新奇特消费×AI新硬件×陪伴服务×文化现象×数字治理）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研究对象：有骑行通勤/休闲骑行习惯的城市居民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核心变量/研究问题：骑行动机、骑行装备（整车/配件/服饰）支出、参与群体（骑行团）、满意度、持续习惯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所属选题库：正大杯第四批30个特色创新选题（新奇特/AI硬件/陪伴/文化/数字治理）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骑行店/骑行团/绿道现场；差异化于第一批智能穿戴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🔶城市骑行热与骑行产业增长（中国自行车协会数据，🔶需下载）；✅绿色出行、双碳政策背景（发改委/交通部）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