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225. “运动小达人”——儿童体适能、运动培训消费需求研究（第八批）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第八批（数字服务×绿色低碳×母婴健康×文博非遗×新体育休闲×银发婚恋）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研究对象：3—12岁儿童家长（报过体适能/游泳/篮球等）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核心变量/研究问题：报班动机（健康/身高/性格）、课程偏好、费用与频次、教练信任、满意度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所属选题库：正大杯第八批30个特色选题（数字服务/绿色低碳/母婴健康/文博非遗/新体育休闲/银发婚恋）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儿童运动馆/培训机构渠道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🔶儿童体适能市场规模（行业报告需核验）；✅"健康中国"儿童青少年体质健康政策（政策背景）；✅体育培训行业监管规范（🔶）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