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232. “钓鱼年轻化，'水上高尔夫'”——青年钓鱼消费行为与装备支出研究（第八批）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第八批（数字服务×绿色低碳×母婴健康×文博非遗×新体育休闲×银发婚恋）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研究对象：25—45岁钓鱼爱好者（含路亚/海钓）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核心变量/研究问题：入坑动机（解压/社交/挑战）、装备支出（竿/轮/艇）、钓场/赛事参与、年度花费、圈层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研究阶段：中期（现象前沿）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所属选题库：正大杯第八批30个特色选题（数字服务/绿色低碳/母婴健康/文博非遗/新体育休闲/银发婚恋）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钓鱼社群/钓具店/钓鱼展会渠道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✅全国钓鱼爱好者近1.5亿、25—45岁占近50%；✅2025年一个电商平台卖出4.04亿单垂钓商品、路亚艇入门16万/高端74万；✅"90后"女孩第一年装备花三四万、展会单趟消费3000元起（媒体案例）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