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233. “岩馆进商场，引流还是跟风”——商场攀岩馆供给侧与商圈引流效果研究（补充更新批）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第八批（211-240）·补充更新（2026-10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研究对象：商场攀岩馆经营者、商场招商及消费者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核心变量/研究问题：开馆成本与坪效、客流带动（亲子/团建）、定价、与商场业态协同、盈利模式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研究阶段：早期+中期（B端视角）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商场攀岩馆访谈+美团点评数据；与456（攀岩消费用户端）区分：聚焦供给侧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✅2026全球攀岩市场120亿美元、室内馆主导（第十六轮证据）；🔶商场运动业态坪效（零售行业媒体需核验）；✅攀岩入奥热度（已核验）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