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234. “跑一场马，爱一座城”——马拉松赛事对城市消费的带动效应研究（第八批）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研究对象：跑过马拉松/半马的跑者及观赛市民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核心变量/研究问题：报名费、差旅住宿、装备消费、城市旅游联动、赛事体验、重跑意愿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马拉松赛事现场+跑团社群；与01题（通用赛事）区分：聚焦马拉松专项经济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🔶马拉松经济（中国田径协会《中国路跑产业发展报告》需下载）；✅赛事带动住宿餐饮消费案例（媒体）；✅全民健身政策背景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