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235. “徒步登山，山野消费”——徒步、登山户外运动消费行为研究（第八批）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第八批（数字服务×绿色低碳×母婴健康×文博非遗×新体育休闲×银发婚恋）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研究对象：有徒步/登山习惯的城市户外爱好者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核心变量/研究问题：路线偏好、装备消费（背包/鞋/杖）、领队与安全付费、年出行频次、社群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所属选题库：正大杯第八批30个特色选题（数字服务/绿色低碳/母婴健康/文博非遗/新体育休闲/银发婚恋）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户外店/徒步社群/周边线路起点现场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🔶户外运动市场规模（《中国户外运动产业发展报告》需下载）；✅体育总局等户外运动政策；✅"特种兵式"徒步热点（媒体🔶）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