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236. “匹克球，新中产运动”——匹克球消费行为与运动社交研究（补充更新批）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第八批（211-240）·补充更新（2026-10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研究对象：玩过匹克球的爱好者/尝鲜者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核心变量/研究问题：入坑渠道（朋友/社媒）、装备花费（球拍/鞋）、场地供给（网球场改造）、社交属性、参与频次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研究阶段：早期+中期（新兴）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匹克球社群/球馆渠道；与457（飞盘/腰旗）区分：聚焦匹克球专项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🔶匹克球全球热潮（美国参与人数、中国推广媒体需核验）；🔶匹克球场地中国增长（行业协会数据需核验）；✅新兴运动入商场业态（459题衔接）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