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253. “跑步经济，跑鞋先行”——跑步运动消费与跑鞋、装备购买行为研究（第九批）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第九批（消费金融×直播电商×健身健康×美妆个护×阅读音频×家居数码）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研究对象：有跑步习惯（含参加马拉松/夜跑）的跑者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核心变量/研究问题：跑步频次、跑鞋价位与品牌偏好、装备（手表/服装）支出、赛事参与、年度消费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所属选题库：正大杯第九批30个特色选题（消费金融/直播电商/健身健康/美妆个护/阅读音频/家居数码）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跑团/运动品牌社群渠道；与01/234题（赛事）区分：聚焦个人装备消费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🔶跑步市场规模（《中国跑步白皮书》需下载）；✅全民健身与马拉松热（媒体）；✅运动鞋服市场扩容（行业🔶）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