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255. “情绪健身房，减压新去处”——情绪释放、减压空间（发泄屋、蹦床、拳击解压）消费研究（第九批）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第九批（消费金融×直播电商×健身健康×美妆个护×阅读音频×家居数码）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研究对象：去过解压体验空间（发泄屋/解压馆/拳击馆）的年轻人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核心变量/研究问题：减压动机、项目偏好、价格接受、效果感知、复购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研究阶段：早期（现象研究）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所属选题库：正大杯第九批30个特色选题（消费金融/直播电商/健身健康/美妆个护/阅读音频/家居数码）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解压馆门店现场调研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✅情绪经济27186亿元（2025年，已核验）；✅情绪疗愈经济近4万亿（第五六轮证据）；🔶发泄屋/解压馆为新兴业态（媒体）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