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37. “情绪运动，汗水解压”——青年情绪驱动型健身、减压运动消费研究（第二批）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 岁参与健身、飞盘、夜跑等运动的青年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核心变量/研究问题：情绪调节动机、运动参与度、消费金额、满意与坚持意愿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健身房/运动社团渠道丰富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✅体育赛事政策（国办发〔2026〕28 号《关于发展体育赛事经济的意见》）带动体育消费；🔶情绪经济报告将"运动解压"列为情绪消费场景（艾媒）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