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394. “荧光夜跑，夜间运动潮”——夜间运动健身（夜跑、夜骑、广场舞）消费研究（第十四批）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研究对象：有夜间运动习惯（跑步/骑行/球类）的城市居民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核心变量/研究问题：运动时段偏好（晨/夜）、夜跑装备（荧光/反光）、商圈夜运动参与（荧光跑活动）、运动消费、动机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夜跑团/运动社群渠道；与253题（跑步装备）区分：聚焦夜间场景与商圈联动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✅蓝色港湾荧光夜跑带动燕莎蓝港商圈消费金额同比+43.6%（北京政府）；✅夜间时段活跃用户9.37亿；🔶夜跑赛事/夜骑活动（媒体）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