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/>
        <w:jc w:val="center"/>
      </w:pPr>
      <w:r>
        <w:rPr>
          <w:rFonts w:ascii="宋体" w:hAnsi="宋体" w:eastAsia="宋体"/>
          <w:b/>
          <w:color w:val="6663B2"/>
          <w:sz w:val="30"/>
        </w:rPr>
        <w:t>456. “攀岩入奥，岩壁人生”——攀岩、抱石运动消费行为研究（第十六批）</w:t>
      </w:r>
    </w:p>
    <w:p>
      <w:pPr>
        <w:spacing w:after="240"/>
        <w:jc w:val="center"/>
      </w:pPr>
      <w:r>
        <w:rPr>
          <w:rFonts w:ascii="宋体" w:hAnsi="宋体" w:eastAsia="宋体"/>
          <w:b w:val="0"/>
          <w:color w:val="837292"/>
          <w:sz w:val="20"/>
        </w:rPr>
        <w:t>正大杯选题档案 · 第十六批（跨境免税×新兴运动×消费维权×银发娱乐3.0×文创现场×代际家庭）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一、选题基本信息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研究对象：体验过攀岩/抱石的大众消费者（尤其00后）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核心变量/研究问题：参与动机（解压/社交/竞技）、场馆选择（商场馆）、单次价格（门票/课程）、装备消费、持续参与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研究阶段：中期（小众转大众）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所属选题库：正大杯第十六批30个特色选题（跨境免税/新兴运动/消费维权/银发娱乐3.0/文创现场/代际家庭）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二、可行性说明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攀岩馆现场+攀岩社群；与第一批（攀岩馆）区分：聚焦消费深化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三、参考来源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✅2026年全球攀岩市场规模预计120亿美元、室内攀岩馆为主要增长动力；✅攀岩成商场标志性体验项目、从小众走向大众；✅攀岩入奥及杭州亚运会热度（已核验）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提示：✅=官方政策/权威媒体可直接引用；🔶=行业报告/媒体线索，参赛前须下载原文核对。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