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457. “飞盘社交，运动交友”——飞盘、腰旗橄榄球等新兴团队运动消费研究（第十六批）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研究对象：参与过飞盘/腰旗橄榄球/匹克球的新兴运动爱好者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核心变量/研究问题：入坑渠道（社交平台）、装备花费、活动组织（俱乐部/付费局）、社交属性、坚持率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飞盘俱乐部/运动社群渠道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✅2026年中国飞盘市场规模预计突破50亿元、专业装备护具需求激增；✅"运动+社交"闭环生态、商场轻量化体验业态；✅匹克球全球兴起（媒体🔶需核验）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