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459. “一起滑板，街头少年”——滑板、陆冲运动消费行为研究（第十六批）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第十六批（跨境免税×新兴运动×消费维权×银发娱乐3.0×文创现场×代际家庭）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研究对象：玩滑板/陆冲板的 15—35 岁爱好者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核心变量/研究问题：入坑动机（潮流/自由/社交）、板类选择（双翘/长板/陆冲）、装备消费、场地需求（滑板公园）、社群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所属选题库：正大杯第十六批30个特色选题（跨境免税/新兴运动/消费维权/银发娱乐3.0/文创现场/代际家庭）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滑板公园/滑板店渠道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✅全球滑板市场2026年预计突破400亿美元；✅滑板入奥后从街头走向专业化商业化、成商场户外广场/屋顶热门业态；🔶中国滑板用户规模（行业数据需核验）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