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74. “滑雪场上，装备升级”——冰雪运动装备购买意愿与国产品牌认知研究（第三批）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研究对象：冰雪运动爱好者（滑雪/滑冰）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核心变量/研究问题：参与水平、装备购买行为、国产vs进口偏好、消费升级意愿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雪场/装备店/滑雪社群渠道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2025年冰雪经济总规模首次突破万亿元（国家体育总局冬运中心《大众冰雪消费市场研究报告(2025—2026冰雪季)》）；✅国产冰雪装备（滑雪板、雪蜡车等）通过跨境电商"出海"（新华网）；✅冰雪产业2016年3647亿元→2024年9800亿元（年均增幅21.09%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