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126. “一碗热饭，社区食堂”——社区食堂全龄化运营满意度与可持续性研究（第五+六批）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第五+六批（银发康养×宠物金融×工业文旅×祈福静经济×卡牌电竞×社区餐饮×认养农业×情绪茶饮）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研究对象：社区食堂就餐居民（含老人/上班族/学生）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核心变量/研究问题：就餐频次、菜品价格满意度、全龄化接受、运营改进建议、续用意愿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所属选题库：正大杯第五+六批60个特色选题（银发/宠物/工业文旅/祈福/静经济/卡牌/电竞/社区/认养/茶饮）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社区食堂现场问卷+管理者访谈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✅截至2026年6月底全国8.2万家老年助餐点、日均服务超400万人次；✅社区餐饮市场2026年预计1.2万亿元（行业测算）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