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167. “共享厨房，烟火共享”——社区共享厨房、美食工坊使用意愿研究（第五+六批）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研究对象：对共享厨房（烘焙共享/社区烹饪）感兴趣的社区家庭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核心变量/研究问题：使用场景（烘焙/亲子/社群）、费用接受、卫生信任、社交功能、参与意愿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社区活动中心/亲子社群渠道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🔶共享厨房为社区商业新模式（一线城市案例媒体）；✅社区餐饮1.2万亿元大盘背景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