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  <w:jc w:val="center"/>
      </w:pPr>
      <w:r>
        <w:rPr>
          <w:rFonts w:ascii="宋体" w:hAnsi="宋体" w:eastAsia="宋体"/>
          <w:b/>
          <w:color w:val="6663B2"/>
          <w:sz w:val="30"/>
        </w:rPr>
        <w:t>168. “深夜食堂，城市温度”——夜间餐饮、深夜食堂消费行为研究（第五+六批）</w:t>
      </w:r>
    </w:p>
    <w:p>
      <w:pPr>
        <w:spacing w:after="240"/>
        <w:jc w:val="center"/>
      </w:pPr>
      <w:r>
        <w:rPr>
          <w:rFonts w:ascii="宋体" w:hAnsi="宋体" w:eastAsia="宋体"/>
          <w:b w:val="0"/>
          <w:color w:val="837292"/>
          <w:sz w:val="20"/>
        </w:rPr>
        <w:t>正大杯选题档案 · 第五+六批（银发康养×宠物金融×工业文旅×祈福静经济×卡牌电竞×社区餐饮×认养农业×情绪茶饮）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一、选题基本信息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研究对象：有夜间外出就餐/夜宵习惯的城市居民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核心变量/研究问题：消费时段、品类偏好、人均支出、卫生安全顾虑、满意度、夜间经济带动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研究阶段：中期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所属选题库：正大杯第五+六批60个特色选题（银发/宠物/工业文旅/祈福/静经济/卡牌/电竞/社区/认养/茶饮）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二、可行性说明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夜市/宵夜街区现场调研；与第三批88题（县域夜经济）区分：聚焦都市深夜食堂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三、参考来源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✅商务部培育夜间消费集聚区（政策背景）；🔶"深夜食堂"餐饮业态报道（媒体）；✅2026上半年餐饮消费数据（🔶最新口径待核）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提示：✅=官方政策/权威媒体可直接引用；🔶=行业报告/媒体线索，参赛前须下载原文核对。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