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175. “情绪茶饮，一杯解压”——情绪价值驱动的新茶饮消费行为研究（第五+六批）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第五+六批（银发康养×宠物金融×工业文旅×祈福静经济×卡牌电竞×社区餐饮×认养农业×情绪茶饮）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研究对象：为新茶饮"情绪联名/治愈系包装"买过单的 18—30 岁消费者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核心变量/研究问题：消费动机（解压/场景/IP）、月均杯数支出、情绪价值vs口味比重、复购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所属选题库：正大杯第五+六批60个特色选题（银发/宠物/工业文旅/祈福/静经济/卡牌/电竞/社区/认养/茶饮）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茶饮门店/社交平台用户渠道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✅新茶饮2026年预计突破3700亿元；✅22—30岁消费者占70%、72.1%每周买3次以上（艾媒）；✅"情绪疗愈"类茶饮搜索量+40%（小红书2025双十一）；✅爷爷不泡茶"情绪研发"、卡皮巴拉IP案例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