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206. “社区精酿，微醺社交”——精酿啤酒、社区小酒馆消费行为研究（第七批）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研究对象：去过精酿酒吧/社区小酒馆的 20—40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核心变量/研究问题：消费频次、客单价、微醺社交动机、品类偏好（精酿/低度酒）、性价比感知、复购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精酿门店/酒馆社群渠道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🔶精酿啤酒市场增速（中国酒业协会数据需核验）；✅低度酒/微醺经济媒体讨论（需引原文）；✅情绪社交消费背景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