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22. “冷链到家，品质可见”——速冻食品冷链配送体验与复购意愿研究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仅供参赛团队研究使用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研究对象：购买速冻食品的家庭消费者。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核心变量/研究问题：配送时效、温度感知、包装完整度、食品安全信任、复购意愿。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研究阶段：成熟型满意度研究。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所属选题库：正大杯30个最新热点选题（topic-selection）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比较即时零售、社区团购和传统商超渠道。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S8，预制菜与食品消费研究；正大企业命题清单速冻食品方向。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提示：行业报告与政策来源需在参赛前下载原文核对；本地市场结论须以问卷、访谈数据为准。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四、选题依据（研究背景）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