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239. “早餐工程，烟火民生”——城市早餐供给与早餐消费行为研究（第八批）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第八批（数字服务×绿色低碳×母婴健康×文博非遗×新体育休闲×银发婚恋）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研究对象：城市上班族/学生（有早餐消费习惯）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核心变量/研究问题：早餐方式（在家/路边/便利店/预制）、消费金额、时间成本、卫生与营养关注、外卖早餐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所属选题库：正大杯第八批30个特色选题（数字服务/绿色低碳/母婴健康/文博非遗/新体育休闲/银发婚恋）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早餐摊/便利店现场+线上问卷；民生切口、贴近生活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🔶早餐市场规模（行业报告需核验）；✅商务部"早餐工程"政策（便民早餐网点建设背景）；✅预制早餐兴起（媒体🔶）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