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279. “礼盒经济，一盒情意”——节日礼盒（月饼、年货、粽子）消费行为研究（第十批）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第十批（医疗健康×婚庆节庆×出行通勤×乡村县域×数字文旅银发×特色新消费）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研究对象：购买过节日礼盒的 18—55 岁消费者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核心变量/研究问题：购买场景（送礼/自用）、价格带、包装与口味偏好、过度包装感知、健康取向（低糖）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研究阶段：中期（节日前调研佳）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所属选题库：正大杯第十批30个特色选题（医疗健康/婚庆节庆/出行通勤/乡村县域/数字文旅银发/特色新消费）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商超/电商渠道；主题贴近民生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🔶礼盒市场（食品行业报告需核验）；✅月饼/年货市场规模（行业媒体数据🔶）；✅《限制商品过度包装要求》新国标（市场监管总局政策）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