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295. “药食同源，吃出健康”——功能性零食、药食同源食品消费行为研究（第十批）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研究对象：购买过功能性零食（益生菌/胶原蛋白/黑芝麻丸等）的消费者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核心变量/研究问题：购买动机（养生/身材/预防）、品类偏好、价格接受、功效信任、复购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健康食品电商/养生社群渠道；与21题（预制菜健康）、82题（减重）区分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🔶功能性零食市场规模（行业报告需核验）；✅"药食同源"目录扩增（卫健委政策）；✅健康消费趋势（睡眠/中医已核验背景）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