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298. “机器人上菜，智能餐饮”——智能餐饮（送餐机器人、无人餐厅）消费体验研究（第十批）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第十批（医疗健康×婚庆节庆×出行通勤×乡村县域×数字文旅银发×特色新消费）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研究对象：去过有送餐机器人/智能点餐的餐厅的消费者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核心变量/研究问题：体验动机（新鲜/效率）、服务满意度、人机交互舒适度、价格感知、复购意愿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研究阶段：早期+中期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所属选题库：正大杯第十批30个特色选题（医疗健康/婚庆节庆/出行通勤/乡村县域/数字文旅银发/特色新消费）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智能餐饮门店现场调研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🔶餐饮机器人市场（行业报告需核验）；✅服务机器人产业政策（工信部背景）；✅AI终端消费扩容（新华网）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