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359. “校园外卖，最后一公里的学生经济”——大学生外卖、校园生活服务消费研究（第十二批）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第十二批（居住城市更新×新就业形态×银发2.0×文化娱乐×出行车辆×商业新形态）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研究对象：在校大学生（有外卖/快递/打印等消费）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核心变量/研究问题：外卖频次与花费、取餐方式（外卖柜/校门口）、快递服务、校园商业需求、满意度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研究阶段：中期（样本易得）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所属选题库：正大杯第十二批30个特色选题（居住城市更新/新就业形态/银发2.0/文化娱乐/出行车辆/商业新形态）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高校渠道（直接对接学生）；评委熟悉校园场景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🔶校园外卖渗透（团餐/外卖平台数据需核验）；✅大学生群体消费（艾媒报告🔶）；✅即时零售1万亿背景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