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35. “一人食光，孤独有市”——独居青年“一人食、一人居”消费场景与满足感研究（第二批）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第二批（情绪经济×AI×乡村振兴×智慧农业）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研究对象：独居/异地求学就业的青年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核心变量/研究问题：孤独感、一人消费意愿、场景类型、体验满意度、情感补偿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所属选题库：正大杯第二批30个热点选题（情绪经济/AI/乡村振兴/智慧农业）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外卖/便利店/小家电品牌提供现实载体；调研触达可行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🔶情绪经济报告将"一人食"列为新兴情绪消费场景；✅18—35 岁年轻人 99% 为情绪价值付费（商务部消费大数据实验室）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