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387. “日咖夜酒，混合业态”——“日咖夜酒”复合门店消费行为研究（第十三批）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第十三批（绿色能源循环×青年婚恋家庭×健康服务×职场工作×特殊群体×城市新体验）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研究对象：去过日咖夜酒/早C晚A门店（咖啡+酒馆）的 20—35 岁消费者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核心变量/研究问题：到店时段分布（白天咖啡/晚上酒）、消费场景（办公/社交）、人均花费、空间体验、复购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研究阶段：早期+中期（新业态）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所属选题库：正大杯第十三批30个特色选题（绿色能源循环/青年婚恋家庭/健康服务/职场工作/特殊群体/城市新体验）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复合门店现场+大众点评用户渠道；与140题（咖啡）区分：聚焦复合业态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🔶"日咖夜酒"业态兴起（行业媒体需核验）；✅咖啡市场3549亿（第三批已核验）；✅"小酒馆+咖啡"连锁案例（海伦司/Seesaw等）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