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392. “深夜食堂，烟火慰藉”——夜宵、深夜餐饮消费行为研究（第十四批）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第十四批（夜间经济×老字号焕新×惠民保障×贵金属理财×文化消费×社区公共）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研究对象：有深夜（21点后）餐饮消费习惯的消费者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核心变量/研究问题：夜宵品类偏好（烧烤/火锅/快餐）、消费场景（加班/社交/独食）、单次花费、外卖vs堂食、健康顾虑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所属选题库：正大杯第十四批30个特色选题（夜间经济/老字号焕新/惠民保障/贵金属理财/文化消费/社区公共）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夜市/夜宵门店现场+外卖平台数据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✅夜间美食为夜经济四大核心场景之一；✅深夜时段活跃用户4.4亿（+16.9%）；🔶夜宵外卖市场规模（外卖平台报告需核验）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