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443. “药膳茶饮，吃出养生”——药膳、食养餐饮消费行为研究（第十五批）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研究对象：消费过药膳餐厅/养生茶饮/炖品店的顾客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核心变量/研究问题：消费动机（养生/尝鲜/送礼）、品类（汤羹/茶饮/糕点）、价格接受、功效信任、复购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药膳餐厅/养生茶饮店现场问卷；与295题（功能性零食）区分：聚焦餐饮场景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🔶药膳市场规模（行业报告需核验）；✅"药食同源"目录扩增（卫健委，第十三批证据）；✅新中式养生消费（媒体）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