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488. “社区咖啡角，邻里第三空间”——社区咖啡、小区咖啡角消费研究（第十七批）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第十七批（数字生活×城市服务×银发代际2.0×品质生活）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研究对象：常去社区咖啡馆/小区咖啡角（非商圈）的居民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核心变量/研究问题：到店频次、消费内容（咖啡/简餐）、社交功能（邻里/办公）、价格带、店铺特色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所属选题库：正大杯第十七批20个特色选题（数字生活/城市服务/银发代际2.0/品质生活小确幸·收官批）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社区咖啡店现场；与54题（村咖）、140题（咖啡）区分：聚焦城市社区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✅咖啡市场2025年3549亿元（第三批已核验）；🔶社区咖啡模式（媒体案例需核验）；✅一刻钟便民生活圈（已核验）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