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120. “平替生活，聪慧消费”——青年平替、质价比消费观念与行为研究（第三批）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研究对象：18—35岁认同或践行"平替"消费的青年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核心变量/研究问题：平替领域（服饰/美妆/数码/零食）、决策逻辑（质价比/试错）、大牌认知转变、分享传播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小红书平替笔记用户渠道；与第三批71自有品牌互补（本研究为广义消费者端）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🔶平替消费为消费理性化趋势的社会现象（媒体/社媒笔记量级，需引用具体数据）；✅2026中国消费零售趋势：折扣化、自有品牌崛起（第三批已核验：折扣零售2.28万亿）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