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146. “自习室还能怎么活”——付费自习室业态转型（+咖啡、住宿、直播）意愿研究（第五+六批）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第五+六批（银发康养×宠物金融×工业文旅×祈福静经济×卡牌电竞×社区餐饮×认养农业×情绪茶饮）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研究对象：自习室经营者与高频用户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核心变量/研究问题：盈利痛点（近六成门店月利润&lt;3000元）、多元业态接受（自习+咖啡/自习+酒店/云自习）、付费意愿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研究阶段：早期（供给侧研究）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所属选题库：正大杯第五+六批60个特色选题（银发/宠物/工业文旅/祈福/静经济/卡牌/电竞/社区/认养/茶饮）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本地自习室经营者访谈+用户问卷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✅近六成门店单月利润不足3000元（新快报）；✅共享工位降温、自习经济火爆的替代逻辑（羊城晚报）；✅付费自习室以中小微、个体户为主（注册金&lt;500万占61%）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