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203. “二手奢侈品，理性入坑”——二手奢侈品消费意愿与保值率认知研究（第七批）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研究对象：购买过或有意购买二手奢侈品（包/表/首饰）的消费者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核心变量/研究问题：购买动机（性价比/保值/环保）、鉴定信任、价格接受、渠道选择、与新品对比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二手奢品平台（得物/妃鱼）用户+线下中古店渠道；与28题（二手数码）区分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✅贝恩+Altagamma《2026年春季全球奢侈品市场研究》：近半数消费者买新包前先上二手平台查价；✅2025年全球个人奢侈品市场3580亿欧元（-2%）、2026年预计回升3650—3730亿欧元；✅"体验更好"与保值率考量成主流心态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