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221. “以修代换，维修经济”——电子产品维修、延保、自助维修消费意愿研究（第八批）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研究对象：维修过手机/家电/笔记本电脑的消费者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核心变量/研究问题：维修vs换新决策、维修价格感知、维修店信任、"维修权"认同、延保购买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维修店/数码社群渠道；与28题（二手）区分：聚焦维修服务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🔶维修经济/延长保修市场（行业报告需核验）；✅欧盟"维修权"立法背景（国际趋势）；✅以旧换新政策（第三批61题）与维修互补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