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229. “老字号，新国潮”——老字号品牌复兴与国潮消费行为研究（第八批）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研究对象：购买过老字号新品（联名/国潮款）的 18—40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核心变量/研究问题：老字号认知、购买动机（情怀/品质/国潮）、联名款接受、品牌焕新评价、复购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老字号门店/电商旗舰店渠道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🔶老字号市场规模与政策（商务部"老字号创新"政策背景）；✅国潮消费趋势（第五轮三坑国风数据呼应）；✅商务部等促进老字号创新发展意见（🔶文号待核）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