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250. “直播购物，信任危机”——直播电商消费信任与退货维权研究（第九批）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第九批（消费金融×直播电商×健身健康×美妆个护×阅读音频×家居数码）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研究对象：有直播购物经历（含踩雷/退货）的消费者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核心变量/研究问题：信任因素（主播/口碑/价格）、踩雷经历（货不对板/虚假宣传）、退货率、维权行为、平台改进诉求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所属选题库：正大杯第九批30个特色选题（消费金融/直播电商/健身健康/美妆个护/阅读音频/家居数码）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直播购物社群+电商投诉平台数据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✅直播电商2025年破6万亿元（+20%）、渗透率58.7%（行业🔶）；🔶直播电商投诉热点（中消协报告需下载）；✅《直播电商监督管理办法》（2026年施行，私域直播纳入监管）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