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358. “邻里中心，一刻钟生活圈”——社区商业综合体（邻里中心）消费需求研究（第十二批）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研究对象：入住有邻里中心/社区商业体的居民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核心变量/研究问题：业态偏好（菜场/餐饮/托育/健身）、到访频次、消费支出、与商场对比、便利感知、需求缺口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邻里中心现场问卷；与59题（一刻钟便民圈）区分：聚焦商业体形态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✅商务部一刻钟便民生活圈试点建设（政策背景）；🔶邻里中心模式（苏州/上海案例媒体）；✅社区餐饮1.2万亿（第五六轮证据）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