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396. “老字号新年轻，潮集焕新”——老字号品牌消费焕新（潮集、快闪）研究（第十四批）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第十四批（夜间经济×老字号焕新×惠民保障×贵金属理财×文化消费×社区公共）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研究对象：在老字号潮集/快闪店/联名店消费过的年轻人（18—35岁）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核心变量/研究问题：接触渠道、购买品类（点心/布鞋/茶）、"老字号年轻化"评价、怀旧vs新潮动机、复购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所属选题库：正大杯第十四批30个特色选题（夜间经济/老字号焕新/惠民保障/贵金属理财/文化消费/社区公共）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隆福潮集/老字号门店现场+线上问卷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✅北京隆福寺"隆福潮集"日均客流超1.2万人次、18-35岁占78%；✅内联升、吴裕泰、瑞蚨祥联名款、快闪店吸引年轻人；✅王府井步行街夜间客流同比增长37%（北京政府/媒体）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