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397. “老字号×新品牌，跨界联名”——老字号跨界联名（国潮合作）消费接受度研究（第十四批）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第十四批（夜间经济×老字号焕新×惠民保障×贵金属理财×文化消费×社区公共）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研究对象：买过老字号联名款（六神×RIO/大白兔×香水等）的消费者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核心变量/研究问题：联名款知晓、购买动机（猎奇/怀旧/收藏）、价格接受、品质预期、传播分享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所属选题库：正大杯第十四批30个特色选题（夜间经济/老字号焕新/惠民保障/贵金属理财/文化消费/社区公共）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线上问卷+电商联名款评论区分析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🔶老字号联名案例（六神花露水/大白兔奶糖等媒体报道需引原文）；✅"国潮"消费趋势（新中式服饰等媒体）；✅隆福潮集年轻化数据（已核验）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