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398. “老字号上网，直播带货”——老字号数字化营销（直播、电商、种草）消费研究（第十四批）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第十四批（夜间经济×老字号焕新×惠民保障×贵金属理财×文化消费×社区公共）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研究对象：通过直播间/电商购买老字号产品的消费者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核心变量/研究问题：购买渠道、直播间信任、非遗工艺介绍影响、包装升级接受、价格与复购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所属选题库：正大杯第十四批30个特色选题（夜间经济/老字号焕新/惠民保障/贵金属理财/文化消费/社区公共）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老字号旗舰店直播间+电商用户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🔶老字号电商转型（商务部"老字号数字博物馆"政策/天猫老字号数据需核验）；✅直播电商破6万亿（第九轮证据）；✅商务部等多部门老字号创新发展政策（背景）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